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060C70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060C70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31242F18" w:rsidR="00BF6B0B" w:rsidRDefault="005B7D92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5B7D92">
              <w:rPr>
                <w:rFonts w:cs="Times New Roman"/>
                <w:sz w:val="20"/>
                <w:szCs w:val="20"/>
              </w:rPr>
              <w:t>BB IRF-M 1 TÍTULOS PÚBLICOS FIC RENDA FIXA PREVIDENCIÁRIO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788B6197" w:rsidR="00BF6B0B" w:rsidRPr="005B7D92" w:rsidRDefault="00BF6B0B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5B7D92">
              <w:rPr>
                <w:rFonts w:cs="Times New Roman"/>
                <w:sz w:val="20"/>
                <w:szCs w:val="20"/>
              </w:rPr>
              <w:t>CNPJ</w:t>
            </w:r>
            <w:r w:rsidR="00416458" w:rsidRPr="005B7D92">
              <w:rPr>
                <w:rFonts w:cs="Times New Roman"/>
                <w:sz w:val="20"/>
                <w:szCs w:val="20"/>
              </w:rPr>
              <w:t>:</w:t>
            </w:r>
            <w:r w:rsidR="002E5D01" w:rsidRPr="005B7D92">
              <w:rPr>
                <w:rFonts w:cs="Times New Roman"/>
                <w:sz w:val="20"/>
                <w:szCs w:val="20"/>
              </w:rPr>
              <w:t xml:space="preserve"> </w:t>
            </w:r>
            <w:r w:rsidR="005B7D92" w:rsidRPr="005B7D92">
              <w:rPr>
                <w:rFonts w:cs="Times New Roman"/>
                <w:sz w:val="20"/>
                <w:szCs w:val="20"/>
              </w:rPr>
              <w:t>11.328.882/0001-35</w:t>
            </w:r>
          </w:p>
        </w:tc>
      </w:tr>
      <w:tr w:rsidR="0067414F" w14:paraId="06BE48B7" w14:textId="77777777" w:rsidTr="00060C70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079F51B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6B90A034" w:rsidR="0067414F" w:rsidRDefault="00B7575D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24FCB50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005AB044" w14:textId="77777777" w:rsidTr="00060C70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60E555D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780F8BC6" w:rsidR="0067414F" w:rsidRDefault="00B7575D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5E8D7279" w:rsidR="0067414F" w:rsidRPr="00416458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1BA78A8B" w14:textId="77777777" w:rsidTr="00060C70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33756672" w:rsidR="0067414F" w:rsidRDefault="0067414F" w:rsidP="0067414F">
            <w:pPr>
              <w:ind w:left="-113"/>
              <w:rPr>
                <w:rFonts w:cs="Times New Roman"/>
                <w:sz w:val="21"/>
                <w:szCs w:val="21"/>
              </w:rPr>
            </w:pPr>
            <w:r w:rsidRPr="0067414F">
              <w:rPr>
                <w:rFonts w:cs="Times New Roman"/>
                <w:sz w:val="20"/>
                <w:szCs w:val="20"/>
              </w:rPr>
              <w:t>Banco do Brasil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47AA8BFD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  <w:r w:rsidRPr="00393A02">
              <w:rPr>
                <w:rFonts w:cs="Times New Roman"/>
                <w:sz w:val="20"/>
                <w:szCs w:val="20"/>
              </w:rPr>
              <w:t>00.000.000/0001-91</w:t>
            </w:r>
          </w:p>
        </w:tc>
      </w:tr>
      <w:tr w:rsidR="0067414F" w:rsidRPr="00377384" w14:paraId="50D70499" w14:textId="77777777" w:rsidTr="00060C70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67414F" w:rsidRPr="00377384" w:rsidRDefault="0067414F" w:rsidP="0067414F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67414F" w:rsidRPr="0033104A" w14:paraId="47A3F4B2" w14:textId="77777777" w:rsidTr="00060C70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67414F" w:rsidRPr="00ED21A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>
              <w:rPr>
                <w:rFonts w:cs="Times New Roman"/>
                <w:b/>
                <w:sz w:val="21"/>
                <w:szCs w:val="21"/>
              </w:rPr>
              <w:t>/2010</w:t>
            </w:r>
          </w:p>
        </w:tc>
      </w:tr>
      <w:tr w:rsidR="0067414F" w:rsidRPr="0033104A" w14:paraId="4CAA62B8" w14:textId="77777777" w:rsidTr="00060C70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67414F" w:rsidRPr="00432C76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67414F" w:rsidRPr="00432C76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2154388A" w14:textId="77777777" w:rsidTr="00060C70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781FF906" w14:textId="77777777" w:rsidTr="00060C70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6C97FD1C" w14:textId="77777777" w:rsidTr="00060C70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67414F" w:rsidRPr="0033104A" w14:paraId="5F84C934" w14:textId="77777777" w:rsidTr="00060C70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3909DE09" w14:textId="77777777" w:rsidTr="00060C70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571EC15A" w14:textId="77777777" w:rsidTr="00060C70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67414F" w:rsidRPr="0033104A" w14:paraId="37CDFF2F" w14:textId="77777777" w:rsidTr="00060C70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67414F" w:rsidRPr="0033104A" w14:paraId="2A4D1A5F" w14:textId="77777777" w:rsidTr="00060C70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67414F" w:rsidRPr="0033104A" w14:paraId="37BDB169" w14:textId="77777777" w:rsidTr="00060C70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67414F" w:rsidRPr="0033104A" w14:paraId="1263A2CE" w14:textId="77777777" w:rsidTr="00060C70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69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87"/>
            </w:tblGrid>
            <w:tr w:rsidR="0067414F" w:rsidRPr="006200F9" w14:paraId="0583C458" w14:textId="77777777" w:rsidTr="00060C70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67414F" w:rsidRPr="007E6C15" w:rsidRDefault="0067414F" w:rsidP="0067414F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s analisados referentes ao Fundo: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8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2A426E" w:rsidRPr="006200F9" w14:paraId="327B410F" w14:textId="77777777" w:rsidTr="00060C70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2A426E" w:rsidRPr="007E6C15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2A426E" w:rsidRPr="004A6A10" w:rsidRDefault="002A426E" w:rsidP="002A426E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03A238AA" w:rsidR="002A426E" w:rsidRPr="007E6C15" w:rsidRDefault="002A426E" w:rsidP="002A426E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A426E" w:rsidRPr="006200F9" w14:paraId="34A37D6C" w14:textId="77777777" w:rsidTr="00060C70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2A426E" w:rsidRPr="007E6C15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2A426E" w:rsidRPr="004A6A10" w:rsidRDefault="002A426E" w:rsidP="002A426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01647248" w:rsidR="002A426E" w:rsidRPr="007E6C15" w:rsidRDefault="002A426E" w:rsidP="002A426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A426E" w:rsidRPr="006200F9" w14:paraId="3620B3F2" w14:textId="77777777" w:rsidTr="00060C70">
              <w:tc>
                <w:tcPr>
                  <w:tcW w:w="4274" w:type="dxa"/>
                  <w:shd w:val="clear" w:color="auto" w:fill="auto"/>
                </w:tcPr>
                <w:p w14:paraId="7F0F7272" w14:textId="33A9DEC4" w:rsidR="002A426E" w:rsidRPr="008B1854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2A426E" w:rsidRPr="004A6A10" w:rsidRDefault="002A426E" w:rsidP="002A426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0580E131" w:rsidR="002A426E" w:rsidRPr="004A6A10" w:rsidRDefault="002A426E" w:rsidP="002A426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A426E" w:rsidRPr="006200F9" w14:paraId="12D5BAFF" w14:textId="77777777" w:rsidTr="00060C70">
              <w:tc>
                <w:tcPr>
                  <w:tcW w:w="4274" w:type="dxa"/>
                  <w:shd w:val="clear" w:color="auto" w:fill="auto"/>
                </w:tcPr>
                <w:p w14:paraId="1FA42355" w14:textId="57F5881E" w:rsidR="002A426E" w:rsidRPr="007E6C15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2A426E" w:rsidRPr="004A6A10" w:rsidRDefault="002A426E" w:rsidP="002A426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3C4BCEA6" w:rsidR="002A426E" w:rsidRPr="007E6C15" w:rsidRDefault="002A426E" w:rsidP="002A426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A426E" w:rsidRPr="006200F9" w14:paraId="01FB3232" w14:textId="77777777" w:rsidTr="00060C70">
              <w:tc>
                <w:tcPr>
                  <w:tcW w:w="4274" w:type="dxa"/>
                  <w:shd w:val="clear" w:color="auto" w:fill="auto"/>
                </w:tcPr>
                <w:p w14:paraId="2C73943E" w14:textId="51A199BA" w:rsidR="002A426E" w:rsidRPr="008B1854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2A426E" w:rsidRPr="004A6A10" w:rsidRDefault="002A426E" w:rsidP="002A426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43437DF8" w:rsidR="002A426E" w:rsidRPr="004A6A10" w:rsidRDefault="002A426E" w:rsidP="002A426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A426E" w:rsidRPr="006200F9" w14:paraId="2D1A545A" w14:textId="77777777" w:rsidTr="00060C70">
              <w:tc>
                <w:tcPr>
                  <w:tcW w:w="4274" w:type="dxa"/>
                  <w:shd w:val="clear" w:color="auto" w:fill="auto"/>
                </w:tcPr>
                <w:p w14:paraId="1CC14FBB" w14:textId="123C6363" w:rsidR="002A426E" w:rsidRPr="008B1854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2A426E" w:rsidRPr="004A6A10" w:rsidRDefault="002A426E" w:rsidP="002A426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0F446E82" w:rsidR="002A426E" w:rsidRPr="004A6A10" w:rsidRDefault="002A426E" w:rsidP="002A426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A426E" w:rsidRPr="006200F9" w14:paraId="7445D38E" w14:textId="77777777" w:rsidTr="00060C70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2A426E" w:rsidRPr="00377384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2A426E" w:rsidRPr="004A6A10" w:rsidRDefault="002A426E" w:rsidP="002A426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4F503BC8" w:rsidR="002A426E" w:rsidRPr="004A6A10" w:rsidRDefault="002A426E" w:rsidP="002A426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2A426E" w:rsidRPr="006200F9" w14:paraId="3723DECF" w14:textId="77777777" w:rsidTr="00060C70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2A426E" w:rsidRPr="00377384" w:rsidRDefault="002A426E" w:rsidP="002A426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2A426E" w:rsidRPr="004A6A10" w:rsidRDefault="002A426E" w:rsidP="002A426E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5412373B" w:rsidR="002A426E" w:rsidRPr="004A6A10" w:rsidRDefault="002A426E" w:rsidP="002A426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F4A5F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</w:tbl>
          <w:p w14:paraId="034BEA2E" w14:textId="77777777" w:rsidR="0067414F" w:rsidRPr="00925479" w:rsidRDefault="0067414F" w:rsidP="0067414F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67414F" w:rsidRPr="00925479" w14:paraId="741C0028" w14:textId="77777777" w:rsidTr="00060C70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67414F" w:rsidRPr="00925479" w:rsidRDefault="0067414F" w:rsidP="0067414F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67414F" w14:paraId="70FAA7D4" w14:textId="77777777" w:rsidTr="00060C70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67414F" w:rsidRDefault="0067414F" w:rsidP="0067414F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09FEADDF" w:rsidR="0067414F" w:rsidRDefault="005E7DB7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5E7DB7">
              <w:rPr>
                <w:rFonts w:cs="Times New Roman"/>
                <w:sz w:val="21"/>
                <w:szCs w:val="21"/>
              </w:rPr>
              <w:t>Banco do Brasil S.A.</w:t>
            </w:r>
          </w:p>
        </w:tc>
      </w:tr>
      <w:tr w:rsidR="0067414F" w:rsidRPr="00D424B2" w14:paraId="0F1A86AC" w14:textId="77777777" w:rsidTr="00060C70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67414F" w:rsidRPr="00D424B2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3E8C70E6" w:rsidR="0067414F" w:rsidRPr="00D424B2" w:rsidRDefault="005E7DB7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5E7DB7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67414F" w:rsidRPr="00D424B2" w14:paraId="146FA6E8" w14:textId="77777777" w:rsidTr="00060C70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1E27A432" w:rsidR="0067414F" w:rsidRPr="00D424B2" w:rsidRDefault="0067414F" w:rsidP="0067414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 distribuição dos Fundos de Investimento é realizada exclusivamente pelo Banco do Brasil, por meio de suas agências e canais digitais.</w:t>
            </w:r>
          </w:p>
        </w:tc>
      </w:tr>
      <w:tr w:rsidR="0067414F" w:rsidRPr="00EA3AA0" w14:paraId="69137AF7" w14:textId="77777777" w:rsidTr="00060C70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67414F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7414F" w:rsidRPr="00EA3AA0" w14:paraId="5B521D8E" w14:textId="77777777" w:rsidTr="00060C70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67414F" w:rsidRPr="009E05F2" w14:paraId="3B8EC442" w14:textId="77777777" w:rsidTr="00060C70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0047FF9C" w:rsidR="0067414F" w:rsidRPr="00884AD2" w:rsidRDefault="008F5794" w:rsidP="0067414F">
            <w:pPr>
              <w:jc w:val="center"/>
            </w:pPr>
            <w:r>
              <w:t>02/12/2009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67414F" w:rsidRPr="00884AD2" w:rsidRDefault="0067414F" w:rsidP="0067414F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2FF75925" w:rsidR="0067414F" w:rsidRPr="008F5794" w:rsidRDefault="008F5794" w:rsidP="008F57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F5794">
              <w:rPr>
                <w:rFonts w:cs="Times New Roman"/>
                <w:sz w:val="21"/>
                <w:szCs w:val="21"/>
              </w:rPr>
              <w:t>08/12/2009</w:t>
            </w:r>
          </w:p>
        </w:tc>
      </w:tr>
      <w:tr w:rsidR="0067414F" w:rsidRPr="00301C40" w14:paraId="7938A33E" w14:textId="77777777" w:rsidTr="00060C70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4CDE7782" w:rsidR="0067414F" w:rsidRPr="0086486E" w:rsidRDefault="0067414F" w:rsidP="0067414F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615215">
              <w:rPr>
                <w:rFonts w:cs="Times New Roman"/>
                <w:sz w:val="21"/>
                <w:szCs w:val="21"/>
              </w:rPr>
              <w:t xml:space="preserve"> IRF-M 1</w:t>
            </w:r>
          </w:p>
        </w:tc>
      </w:tr>
      <w:tr w:rsidR="0067414F" w:rsidRPr="00301C40" w14:paraId="3FB8B5BD" w14:textId="77777777" w:rsidTr="00060C70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D0B9E0B" w14:textId="655E9F35" w:rsidR="008F5794" w:rsidRPr="008F5794" w:rsidRDefault="008F5794" w:rsidP="008F5794">
            <w:pPr>
              <w:jc w:val="both"/>
              <w:rPr>
                <w:rFonts w:cs="Times New Roman"/>
                <w:sz w:val="21"/>
                <w:szCs w:val="21"/>
              </w:rPr>
            </w:pPr>
            <w:r w:rsidRPr="008F5794">
              <w:rPr>
                <w:rFonts w:cs="Times New Roman"/>
                <w:sz w:val="21"/>
                <w:szCs w:val="21"/>
              </w:rPr>
              <w:t xml:space="preserve">O fundo busca retorno compatível com o do </w:t>
            </w:r>
            <w:proofErr w:type="spellStart"/>
            <w:r w:rsidRPr="008F5794">
              <w:rPr>
                <w:rFonts w:cs="Times New Roman"/>
                <w:sz w:val="21"/>
                <w:szCs w:val="21"/>
              </w:rPr>
              <w:t>sub-índice</w:t>
            </w:r>
            <w:proofErr w:type="spellEnd"/>
            <w:r w:rsidRPr="008F5794">
              <w:rPr>
                <w:rFonts w:cs="Times New Roman"/>
                <w:sz w:val="21"/>
                <w:szCs w:val="21"/>
              </w:rPr>
              <w:t xml:space="preserve"> IRFM-1. Para isso, aplica seus recursos em fundos que apliquem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8F5794">
              <w:rPr>
                <w:rFonts w:cs="Times New Roman"/>
                <w:sz w:val="21"/>
                <w:szCs w:val="21"/>
              </w:rPr>
              <w:t>exclusivamente em títulos públicos federais, devendo, ainda, manter 80% de sua carteira em ativos cuja rentabilidade esteja</w:t>
            </w:r>
          </w:p>
          <w:p w14:paraId="5666C5A2" w14:textId="21BB05D5" w:rsidR="0067414F" w:rsidRPr="0086486E" w:rsidRDefault="008F5794" w:rsidP="008F5794">
            <w:pPr>
              <w:jc w:val="both"/>
              <w:rPr>
                <w:rFonts w:cs="Times New Roman"/>
                <w:sz w:val="21"/>
                <w:szCs w:val="21"/>
              </w:rPr>
            </w:pPr>
            <w:r w:rsidRPr="008F5794">
              <w:rPr>
                <w:rFonts w:cs="Times New Roman"/>
                <w:sz w:val="21"/>
                <w:szCs w:val="21"/>
              </w:rPr>
              <w:t>atrelada à variação da taxa de juros doméstica e/ou índices de preços.</w:t>
            </w:r>
          </w:p>
        </w:tc>
      </w:tr>
      <w:tr w:rsidR="0067414F" w:rsidRPr="00301C40" w14:paraId="52645DEF" w14:textId="77777777" w:rsidTr="00060C70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2389065" w14:textId="4C0F33F2" w:rsidR="008F5794" w:rsidRPr="008F5794" w:rsidRDefault="008F5794" w:rsidP="008F5794">
            <w:pPr>
              <w:jc w:val="both"/>
              <w:rPr>
                <w:rFonts w:cs="Times New Roman"/>
                <w:sz w:val="21"/>
                <w:szCs w:val="21"/>
              </w:rPr>
            </w:pPr>
            <w:r w:rsidRPr="008F5794">
              <w:rPr>
                <w:rFonts w:cs="Times New Roman"/>
                <w:sz w:val="21"/>
                <w:szCs w:val="21"/>
              </w:rPr>
              <w:t>O fundo destina-se a receber recursos dos Regimes Próprios de Previdência Social instituídos pela União, pelos Estados, pelo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8F5794">
              <w:rPr>
                <w:rFonts w:cs="Times New Roman"/>
                <w:sz w:val="21"/>
                <w:szCs w:val="21"/>
              </w:rPr>
              <w:t>Distrito Federal ou por Municípios, sejam eles aplicados pelos Regimes Próprios ou pela União, pelos Governos Estaduais,</w:t>
            </w:r>
          </w:p>
          <w:p w14:paraId="6073B7F0" w14:textId="468E9323" w:rsidR="0067414F" w:rsidRPr="0086486E" w:rsidRDefault="008F5794" w:rsidP="008F5794">
            <w:pPr>
              <w:jc w:val="both"/>
              <w:rPr>
                <w:rFonts w:cs="Times New Roman"/>
                <w:sz w:val="21"/>
                <w:szCs w:val="21"/>
              </w:rPr>
            </w:pPr>
            <w:r w:rsidRPr="008F5794">
              <w:rPr>
                <w:rFonts w:cs="Times New Roman"/>
                <w:sz w:val="21"/>
                <w:szCs w:val="21"/>
              </w:rPr>
              <w:t xml:space="preserve">pelo Distrito Federal ou por Prefeituras, e </w:t>
            </w:r>
            <w:proofErr w:type="spellStart"/>
            <w:r w:rsidRPr="008F5794">
              <w:rPr>
                <w:rFonts w:cs="Times New Roman"/>
                <w:sz w:val="21"/>
                <w:szCs w:val="21"/>
              </w:rPr>
              <w:t>EFPCs</w:t>
            </w:r>
            <w:proofErr w:type="spellEnd"/>
            <w:r w:rsidRPr="008F5794">
              <w:rPr>
                <w:rFonts w:cs="Times New Roman"/>
                <w:sz w:val="21"/>
                <w:szCs w:val="21"/>
              </w:rPr>
              <w:t xml:space="preserve"> - Entidades Fechadas de Previdência Complementar, de Fundos de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8F5794">
              <w:rPr>
                <w:rFonts w:cs="Times New Roman"/>
                <w:sz w:val="21"/>
                <w:szCs w:val="21"/>
              </w:rPr>
              <w:t>Investimento e de Fundos de Investimento em Cotas de Fundos de Investimento exclusivos das EFPC.</w:t>
            </w:r>
          </w:p>
        </w:tc>
      </w:tr>
      <w:tr w:rsidR="0067414F" w14:paraId="6EA7253C" w14:textId="77777777" w:rsidTr="00060C70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(Prazos</w:t>
            </w:r>
            <w:r w:rsidRPr="0086486E">
              <w:rPr>
                <w:sz w:val="21"/>
                <w:szCs w:val="21"/>
              </w:rPr>
              <w:t>/ C</w:t>
            </w:r>
            <w:r w:rsidRPr="0086486E">
              <w:rPr>
                <w:rFonts w:cs="Times New Roman"/>
                <w:sz w:val="21"/>
                <w:szCs w:val="21"/>
              </w:rPr>
              <w:t xml:space="preserve">ondições para resgate)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 xml:space="preserve">Prazo de Duração do Fundo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116C954A" w:rsidR="0067414F" w:rsidRPr="0086486E" w:rsidRDefault="005E7DB7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E7DB7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67414F" w14:paraId="6C157201" w14:textId="77777777" w:rsidTr="00060C70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2A15F3DA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3906C634" w14:textId="77777777" w:rsidTr="00060C70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15BA439C" w:rsidR="0067414F" w:rsidRPr="0086486E" w:rsidRDefault="008F579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67414F" w14:paraId="360D3117" w14:textId="77777777" w:rsidTr="00060C70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1E6D03D0" w:rsidR="0067414F" w:rsidRPr="0086486E" w:rsidRDefault="008F579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67414F" w14:paraId="1B5A9867" w14:textId="77777777" w:rsidTr="00060C70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2738BA6E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697B3159" w14:textId="77777777" w:rsidTr="00060C70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67414F" w:rsidRPr="0086486E" w:rsidRDefault="0067414F" w:rsidP="006741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4654C555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493B6ED1" w14:textId="77777777" w:rsidTr="00060C70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3D2330A3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3268A8DC" w14:textId="77777777" w:rsidTr="00060C70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5F7D1196" w:rsidR="0067414F" w:rsidRPr="0086486E" w:rsidRDefault="008F579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0,10% A.A</w:t>
            </w:r>
          </w:p>
        </w:tc>
      </w:tr>
      <w:tr w:rsidR="0067414F" w14:paraId="1D2A90DC" w14:textId="77777777" w:rsidTr="00060C70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67414F" w:rsidRPr="00301C40" w14:paraId="0714F6FA" w14:textId="77777777" w:rsidTr="00060C70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67414F" w:rsidRPr="00301C40" w14:paraId="29F82CD4" w14:textId="77777777" w:rsidTr="00060C70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34B6374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35E0CB9C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15ABBB8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3CF56CEE" w14:textId="77777777" w:rsidTr="00060C70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58B4694F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67414F" w:rsidRPr="00301C40" w14:paraId="1E77544B" w14:textId="77777777" w:rsidTr="00060C70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67414F" w:rsidRPr="00E26669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Alterações ocorridas relativas às instituições administradoras e gestoras 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23C0C367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2D82ECFD" w14:textId="77777777" w:rsidTr="00060C70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 fatos relevantes divulgados: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150D3A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4E03D666" w14:textId="77777777" w:rsidTr="00060C70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 e à sua 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3A9368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79EF85BD" w14:textId="77777777" w:rsidTr="00060C70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riscos associados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6994AB0C" w:rsidR="0067414F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E7DB7">
              <w:rPr>
                <w:rFonts w:cs="Times New Roman"/>
                <w:sz w:val="20"/>
                <w:szCs w:val="20"/>
              </w:rPr>
              <w:t>Risco de Taxa de Juros; Risco Proveniente do uso de Derivativos; Risco de Descasamento em relação ao Benchmark; Risco de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DB7">
              <w:rPr>
                <w:rFonts w:cs="Times New Roman"/>
                <w:sz w:val="20"/>
                <w:szCs w:val="20"/>
              </w:rPr>
              <w:t>vinculação a um Benchmark; Risco de juros pós-fixados (CDI, TMS); Risco de Liquidez; Risco de Conjuntura; Risco Sistêmico;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DB7">
              <w:rPr>
                <w:rFonts w:cs="Times New Roman"/>
                <w:sz w:val="20"/>
                <w:szCs w:val="20"/>
              </w:rPr>
              <w:t>Risco Regulatório</w:t>
            </w:r>
          </w:p>
        </w:tc>
      </w:tr>
      <w:tr w:rsidR="0067414F" w:rsidRPr="00EA3AA0" w14:paraId="2742C104" w14:textId="77777777" w:rsidTr="00060C70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67414F" w:rsidRPr="003D63C8" w14:paraId="4323887A" w14:textId="77777777" w:rsidTr="00060C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30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67414F" w:rsidRPr="00ED21A9" w:rsidRDefault="0067414F" w:rsidP="0067414F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67414F" w:rsidRPr="00ED21A9" w:rsidRDefault="0067414F" w:rsidP="0067414F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67414F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67414F" w:rsidRPr="005D2CBE" w14:paraId="4F555FE2" w14:textId="77777777" w:rsidTr="00060C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471C8D1" w:rsidR="0067414F" w:rsidRPr="00996F57" w:rsidRDefault="005E7DB7" w:rsidP="006741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1C49C633" w:rsidR="0067414F" w:rsidRPr="008F5794" w:rsidRDefault="005E7DB7" w:rsidP="008F579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1.198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5EE0E488" w:rsidR="0067414F" w:rsidRPr="008F5794" w:rsidRDefault="005E7DB7" w:rsidP="008F579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7.033.827.032,81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3109AE55" w:rsidR="0067414F" w:rsidRPr="008F5794" w:rsidRDefault="005E7DB7" w:rsidP="008F579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2,634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064E2230" w:rsidR="0067414F" w:rsidRPr="008F5794" w:rsidRDefault="005E7DB7" w:rsidP="008F579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0,40%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32A064CD" w:rsidR="0067414F" w:rsidRPr="008F5794" w:rsidRDefault="005E7DB7" w:rsidP="008F579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0,42%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1CD45103" w:rsidR="0067414F" w:rsidRPr="008F5794" w:rsidRDefault="005E7DB7" w:rsidP="008F579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94,90%</w:t>
            </w:r>
          </w:p>
        </w:tc>
      </w:tr>
      <w:tr w:rsidR="005E7DB7" w:rsidRPr="005D2CBE" w14:paraId="5E89A399" w14:textId="77777777" w:rsidTr="00060C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CAF210" w14:textId="1E7F0B7E" w:rsidR="005E7DB7" w:rsidRDefault="005E7DB7" w:rsidP="005E7DB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B53377" w14:textId="0AE8ABDB" w:rsidR="005E7DB7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1.269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844C8C" w14:textId="1B15A430" w:rsidR="005E7DB7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12.831.650.129,38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797B6A" w14:textId="28487EAF" w:rsidR="005E7DB7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2,460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806236" w14:textId="0030D0BA" w:rsidR="005E7DB7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0,52%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4456C9" w14:textId="6BC4182E" w:rsidR="005E7DB7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0,56%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6C21418" w14:textId="5CE087C9" w:rsidR="005E7DB7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93,36%</w:t>
            </w:r>
          </w:p>
        </w:tc>
      </w:tr>
      <w:tr w:rsidR="005E7DB7" w:rsidRPr="005D2CBE" w14:paraId="3B799E14" w14:textId="77777777" w:rsidTr="00060C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5E7DB7" w:rsidRPr="00996F57" w:rsidRDefault="005E7DB7" w:rsidP="005E7DB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6B578806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4A5E4FD7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12.272.521.315,53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13470D0C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2,317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6AE58F15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10,86%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72347546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11,12%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73B68060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97,69%</w:t>
            </w:r>
          </w:p>
        </w:tc>
      </w:tr>
      <w:tr w:rsidR="005E7DB7" w:rsidRPr="005D2CBE" w14:paraId="7CBB8E44" w14:textId="77777777" w:rsidTr="00060C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5E7DB7" w:rsidRPr="00ED21A9" w:rsidRDefault="005E7DB7" w:rsidP="005E7DB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1C6F5675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1.183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419911F3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9.911.816.256,66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1A078B5A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2,090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47236F4A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14,48%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5652D1F6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14,72%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204CB9BB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98,40%</w:t>
            </w:r>
          </w:p>
        </w:tc>
      </w:tr>
      <w:tr w:rsidR="005E7DB7" w:rsidRPr="005D2CBE" w14:paraId="77C7B7F9" w14:textId="77777777" w:rsidTr="00060C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5E7DB7" w:rsidRPr="00ED21A9" w:rsidRDefault="005E7DB7" w:rsidP="005E7DB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1445DA89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1.165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28D15AED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7.689.964.924,10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0182D0C7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1,825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5263B14F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12,58%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72F3E788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13,01%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46201354" w:rsidR="005E7DB7" w:rsidRPr="008F5794" w:rsidRDefault="005E7DB7" w:rsidP="005E7DB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96,72%</w:t>
            </w:r>
          </w:p>
        </w:tc>
      </w:tr>
      <w:tr w:rsidR="005E7DB7" w:rsidRPr="00161F88" w14:paraId="12F8C428" w14:textId="77777777" w:rsidTr="00060C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5E7DB7" w:rsidRPr="00161F88" w:rsidRDefault="005E7DB7" w:rsidP="005E7DB7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5E7DB7" w:rsidRPr="00301C40" w14:paraId="58EE6C15" w14:textId="77777777" w:rsidTr="00060C70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5E7DB7" w:rsidRPr="00ED21A9" w:rsidRDefault="005E7DB7" w:rsidP="005E7DB7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5E7DB7" w:rsidRPr="00301C40" w14:paraId="3C6B6827" w14:textId="77777777" w:rsidTr="00060C70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5E7DB7" w:rsidRPr="00ED21A9" w:rsidRDefault="005E7DB7" w:rsidP="005E7DB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5E7DB7" w:rsidRPr="00ED21A9" w:rsidRDefault="005E7DB7" w:rsidP="005E7DB7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5E7DB7" w:rsidRPr="00ED21A9" w:rsidRDefault="005E7DB7" w:rsidP="005E7DB7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5E7DB7" w:rsidRPr="00301C40" w14:paraId="746FB8D2" w14:textId="77777777" w:rsidTr="00060C70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24A5117A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E7DB7">
              <w:rPr>
                <w:rFonts w:cs="Times New Roman"/>
                <w:sz w:val="20"/>
                <w:szCs w:val="20"/>
              </w:rPr>
              <w:t>LTN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530EFF11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61,27%</w:t>
            </w:r>
          </w:p>
        </w:tc>
      </w:tr>
      <w:tr w:rsidR="005E7DB7" w:rsidRPr="00301C40" w14:paraId="33AE4D05" w14:textId="77777777" w:rsidTr="00060C70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22460EFC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E7DB7">
              <w:rPr>
                <w:rFonts w:cs="Times New Roman"/>
                <w:sz w:val="20"/>
                <w:szCs w:val="20"/>
              </w:rPr>
              <w:t>Op. Compromissada Over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7405B7A1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24,55%</w:t>
            </w:r>
          </w:p>
        </w:tc>
      </w:tr>
      <w:tr w:rsidR="005E7DB7" w:rsidRPr="00301C40" w14:paraId="5FBCA45C" w14:textId="77777777" w:rsidTr="00060C70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676C32E4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E7DB7">
              <w:rPr>
                <w:rFonts w:cs="Times New Roman"/>
                <w:sz w:val="20"/>
                <w:szCs w:val="20"/>
              </w:rPr>
              <w:t>LFT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23105AA6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14,17%</w:t>
            </w:r>
          </w:p>
        </w:tc>
      </w:tr>
      <w:tr w:rsidR="005E7DB7" w:rsidRPr="00301C40" w14:paraId="78EE981E" w14:textId="77777777" w:rsidTr="00060C70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1FCBD204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E7DB7"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1D769C11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1,00%</w:t>
            </w:r>
          </w:p>
        </w:tc>
      </w:tr>
      <w:tr w:rsidR="005E7DB7" w:rsidRPr="00301C40" w14:paraId="4ED5E488" w14:textId="77777777" w:rsidTr="00060C70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E7DB7" w:rsidRPr="00301C40" w14:paraId="436FF8F7" w14:textId="77777777" w:rsidTr="00060C70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5E7DB7" w:rsidRPr="00DF52CF" w:rsidRDefault="005E7DB7" w:rsidP="005E7DB7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5E7DB7" w:rsidRPr="00301C40" w14:paraId="505589B7" w14:textId="77777777" w:rsidTr="00060C70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5E7DB7" w:rsidRPr="00996F57" w:rsidRDefault="005E7DB7" w:rsidP="005E7DB7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5E7DB7" w:rsidRPr="00301C40" w:rsidRDefault="005E7DB7" w:rsidP="005E7DB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5E7DB7" w:rsidRPr="00996F57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5E7DB7" w:rsidRPr="00301C40" w14:paraId="430BA8B2" w14:textId="77777777" w:rsidTr="00060C70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5E7DB7" w:rsidRDefault="005E7DB7" w:rsidP="005E7DB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6F1E9F64" w:rsidR="005E7DB7" w:rsidRPr="008F5794" w:rsidRDefault="005E7DB7" w:rsidP="005E7DB7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11.839.250/0001-36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2FF59EA2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---------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444B00E4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5E7DB7" w:rsidRPr="00301C40" w14:paraId="4FB8A5B8" w14:textId="77777777" w:rsidTr="00060C70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5E7DB7" w:rsidRDefault="005E7DB7" w:rsidP="005E7DB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77777777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E7DB7" w:rsidRPr="00301C40" w14:paraId="1EE4F309" w14:textId="77777777" w:rsidTr="00060C70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5E7DB7" w:rsidRDefault="005E7DB7" w:rsidP="005E7DB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77777777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E7DB7" w:rsidRPr="00301C40" w14:paraId="25EA7FA4" w14:textId="77777777" w:rsidTr="00060C70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5E7DB7" w:rsidRDefault="005E7DB7" w:rsidP="005E7DB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E7DB7" w:rsidRPr="00301C40" w14:paraId="40C078B0" w14:textId="77777777" w:rsidTr="00060C70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5E7DB7" w:rsidRPr="00996F57" w:rsidRDefault="005E7DB7" w:rsidP="005E7DB7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lastRenderedPageBreak/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5E7DB7" w:rsidRPr="00996F57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5E7DB7" w:rsidRPr="00301C40" w14:paraId="1C6D37C5" w14:textId="77777777" w:rsidTr="00060C70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08131239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28D3CFD3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5CD40D8B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E7DB7" w:rsidRPr="00301C40" w14:paraId="5C3B0339" w14:textId="77777777" w:rsidTr="00060C7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5EAECDA7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60D89456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4E187E90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E7DB7" w:rsidRPr="00301C40" w14:paraId="20278E5D" w14:textId="77777777" w:rsidTr="00060C7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73145B4D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6FBF9A68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1CBC37D3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E7DB7" w:rsidRPr="00301C40" w14:paraId="7F2353F5" w14:textId="77777777" w:rsidTr="00060C7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6EFF9ECB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24936897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7BB66780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E7DB7" w:rsidRPr="00301C40" w14:paraId="683559AB" w14:textId="77777777" w:rsidTr="00060C70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5F7BBB78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46203668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1FAD8F24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77F5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E7DB7" w:rsidRPr="00301C40" w14:paraId="4BDA7D51" w14:textId="77777777" w:rsidTr="00060C70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2CBC38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5E7DB7" w:rsidRPr="00301C40" w14:paraId="17C3E7C0" w14:textId="77777777" w:rsidTr="00060C70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5E7DB7" w:rsidRPr="00301C40" w14:paraId="28846C63" w14:textId="77777777" w:rsidTr="00060C70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5E7DB7" w:rsidRDefault="005E7DB7" w:rsidP="005E7D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430CC4C0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5E7DB7" w:rsidRPr="00301C40" w14:paraId="068D2230" w14:textId="77777777" w:rsidTr="00060C70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5E7DB7" w:rsidRPr="00023577" w:rsidRDefault="005E7DB7" w:rsidP="005E7DB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5E7DB7" w:rsidRPr="00023577" w:rsidRDefault="005E7DB7" w:rsidP="005E7DB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5E7DB7" w:rsidRPr="00023577" w:rsidRDefault="005E7DB7" w:rsidP="005E7DB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5E7DB7" w:rsidRPr="00301C40" w14:paraId="3028C53D" w14:textId="77777777" w:rsidTr="00060C70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5E7DB7" w:rsidRPr="00301C40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0222973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99CE5F1" w:rsidR="005E7DB7" w:rsidRPr="00301C40" w:rsidRDefault="005E7DB7" w:rsidP="005E7DB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E7DB7" w:rsidRPr="00301C40" w14:paraId="7D311F67" w14:textId="77777777" w:rsidTr="00060C70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5E7DB7" w:rsidRPr="00DF52CF" w:rsidRDefault="005E7DB7" w:rsidP="005E7DB7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5E7DB7" w:rsidRPr="00301C40" w14:paraId="19A5F7B9" w14:textId="77777777" w:rsidTr="00060C70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5E7DB7" w:rsidRPr="00161F88" w:rsidRDefault="005E7DB7" w:rsidP="005E7DB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1B380A4C" w:rsidR="005E7DB7" w:rsidRDefault="005E7DB7" w:rsidP="005E7DB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15215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5E7DB7" w:rsidRPr="00301C40" w14:paraId="72A126E4" w14:textId="77777777" w:rsidTr="00060C70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5E7DB7" w:rsidRPr="00301C40" w:rsidRDefault="005E7DB7" w:rsidP="005E7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5E376651" w:rsidR="005E7DB7" w:rsidRPr="00301C40" w:rsidRDefault="005E7DB7" w:rsidP="005E7DB7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8F5794">
              <w:rPr>
                <w:rFonts w:cs="Times New Roman"/>
                <w:sz w:val="20"/>
                <w:szCs w:val="20"/>
              </w:rPr>
              <w:t xml:space="preserve">Aplicação em cotas de </w:t>
            </w:r>
            <w:proofErr w:type="spellStart"/>
            <w:r w:rsidRPr="008F5794">
              <w:rPr>
                <w:rFonts w:cs="Times New Roman"/>
                <w:sz w:val="20"/>
                <w:szCs w:val="20"/>
              </w:rPr>
              <w:t>FIs</w:t>
            </w:r>
            <w:proofErr w:type="spellEnd"/>
            <w:r w:rsidRPr="008F5794">
              <w:rPr>
                <w:rFonts w:cs="Times New Roman"/>
                <w:sz w:val="20"/>
                <w:szCs w:val="20"/>
              </w:rPr>
              <w:t xml:space="preserve"> que detenham 100% de Tít. Pub. Fed. em suas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F5794">
              <w:rPr>
                <w:rFonts w:cs="Times New Roman"/>
                <w:sz w:val="20"/>
                <w:szCs w:val="20"/>
              </w:rPr>
              <w:t xml:space="preserve">carteiras e tenham como parâmetro de rentabilidade o </w:t>
            </w:r>
            <w:proofErr w:type="spellStart"/>
            <w:r w:rsidRPr="008F5794">
              <w:rPr>
                <w:rFonts w:cs="Times New Roman"/>
                <w:sz w:val="20"/>
                <w:szCs w:val="20"/>
              </w:rPr>
              <w:t>sub-índice</w:t>
            </w:r>
            <w:proofErr w:type="spellEnd"/>
            <w:r w:rsidRPr="008F5794">
              <w:rPr>
                <w:rFonts w:cs="Times New Roman"/>
                <w:sz w:val="20"/>
                <w:szCs w:val="20"/>
              </w:rPr>
              <w:t xml:space="preserve"> IRFM-1.</w:t>
            </w:r>
          </w:p>
        </w:tc>
      </w:tr>
    </w:tbl>
    <w:p w14:paraId="3FA6965B" w14:textId="5AD53C30" w:rsidR="00C272FB" w:rsidRDefault="00C272FB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060C70" w14:paraId="171D2C77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C10BA7E" w14:textId="77777777" w:rsidR="00060C70" w:rsidRDefault="00060C70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8CF6332" w14:textId="77777777" w:rsidR="00060C70" w:rsidRDefault="00060C70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060C70" w14:paraId="5D0A6486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3F86A7" w14:textId="77777777" w:rsidR="00060C70" w:rsidRDefault="00060C70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11DA211" w14:textId="77777777" w:rsidR="00060C70" w:rsidRDefault="00060C70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8DF2124" w14:textId="77777777" w:rsidR="00060C70" w:rsidRDefault="00060C70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3076068" w14:textId="77777777" w:rsidR="00060C70" w:rsidRDefault="00060C70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060C70" w14:paraId="76E55A19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BF5459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113DB36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1CD6A47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0730075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60C70" w14:paraId="77CFE0C3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BE69DE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EF03BFF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13A7104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A0E75F3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60C70" w14:paraId="42D4A459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EE91D8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75E1928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FF7FFF4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823071D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60C70" w14:paraId="077CE606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B1C8BD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96EF5C5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0D74AD4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E5E6CB2" w14:textId="77777777" w:rsidR="00060C70" w:rsidRDefault="00060C70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6409E85C" w14:textId="77777777" w:rsidR="00060C70" w:rsidRDefault="00060C70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6B23EB8F" w14:textId="77777777" w:rsidR="00060C70" w:rsidRDefault="00060C70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29B177D1" w14:textId="77777777" w:rsidR="001561A0" w:rsidRDefault="001561A0" w:rsidP="001561A0">
      <w:pPr>
        <w:pStyle w:val="Textodenotaderodap"/>
        <w:jc w:val="both"/>
      </w:pPr>
      <w:bookmarkStart w:id="0" w:name="_GoBack"/>
      <w:bookmarkEnd w:id="0"/>
    </w:p>
    <w:p w14:paraId="477BA567" w14:textId="184E5070" w:rsidR="001561A0" w:rsidRDefault="001561A0" w:rsidP="0067414F">
      <w:pPr>
        <w:pStyle w:val="Textodenotaderodap"/>
        <w:ind w:left="708" w:firstLine="120"/>
        <w:jc w:val="both"/>
      </w:pP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582A8255" w14:textId="77777777" w:rsidR="00DF52CF" w:rsidRDefault="00DF52CF" w:rsidP="001561A0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1561A0">
      <w:headerReference w:type="default" r:id="rId8"/>
      <w:footerReference w:type="default" r:id="rId9"/>
      <w:pgSz w:w="11906" w:h="16838"/>
      <w:pgMar w:top="42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F4019" w14:textId="77777777" w:rsidR="00684D88" w:rsidRDefault="00684D88" w:rsidP="003764B6">
      <w:pPr>
        <w:spacing w:after="0" w:line="240" w:lineRule="auto"/>
      </w:pPr>
      <w:r>
        <w:separator/>
      </w:r>
    </w:p>
  </w:endnote>
  <w:endnote w:type="continuationSeparator" w:id="0">
    <w:p w14:paraId="56607DCB" w14:textId="77777777" w:rsidR="00684D88" w:rsidRDefault="00684D88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34BF8" w14:textId="77777777" w:rsidR="00684D88" w:rsidRDefault="00684D88" w:rsidP="003764B6">
      <w:pPr>
        <w:spacing w:after="0" w:line="240" w:lineRule="auto"/>
      </w:pPr>
      <w:r>
        <w:separator/>
      </w:r>
    </w:p>
  </w:footnote>
  <w:footnote w:type="continuationSeparator" w:id="0">
    <w:p w14:paraId="2922C802" w14:textId="77777777" w:rsidR="00684D88" w:rsidRDefault="00684D88" w:rsidP="003764B6">
      <w:pPr>
        <w:spacing w:after="0" w:line="240" w:lineRule="auto"/>
      </w:pPr>
      <w:r>
        <w:continuationSeparator/>
      </w:r>
    </w:p>
  </w:footnote>
  <w:footnote w:id="1">
    <w:p w14:paraId="4CD350F0" w14:textId="78B37550" w:rsidR="006478E6" w:rsidRPr="007D32DD" w:rsidRDefault="006478E6" w:rsidP="007D32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F72B1"/>
    <w:multiLevelType w:val="hybridMultilevel"/>
    <w:tmpl w:val="681438A8"/>
    <w:lvl w:ilvl="0" w:tplc="CCF8D9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6"/>
  </w:num>
  <w:num w:numId="7">
    <w:abstractNumId w:val="5"/>
  </w:num>
  <w:num w:numId="8">
    <w:abstractNumId w:val="19"/>
  </w:num>
  <w:num w:numId="9">
    <w:abstractNumId w:val="15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60C70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561A0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426E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3A6F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B7D92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E7DB7"/>
    <w:rsid w:val="005F2AB2"/>
    <w:rsid w:val="005F39E4"/>
    <w:rsid w:val="00604324"/>
    <w:rsid w:val="00611157"/>
    <w:rsid w:val="00614A45"/>
    <w:rsid w:val="0061521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414F"/>
    <w:rsid w:val="006762AC"/>
    <w:rsid w:val="00684D88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2DD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8F5794"/>
    <w:rsid w:val="0090298F"/>
    <w:rsid w:val="00903CD5"/>
    <w:rsid w:val="009054B9"/>
    <w:rsid w:val="009117D4"/>
    <w:rsid w:val="0091527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40E2"/>
    <w:rsid w:val="00B6708A"/>
    <w:rsid w:val="00B67A41"/>
    <w:rsid w:val="00B67DFE"/>
    <w:rsid w:val="00B72870"/>
    <w:rsid w:val="00B72DAC"/>
    <w:rsid w:val="00B74F45"/>
    <w:rsid w:val="00B7575D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5B8B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0CC0-B9E0-4EA5-9A84-E70E8EED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1086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27</cp:revision>
  <cp:lastPrinted>2016-03-23T21:20:00Z</cp:lastPrinted>
  <dcterms:created xsi:type="dcterms:W3CDTF">2018-12-11T22:23:00Z</dcterms:created>
  <dcterms:modified xsi:type="dcterms:W3CDTF">2021-02-25T16:35:00Z</dcterms:modified>
</cp:coreProperties>
</file>